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widowControl/>
        <w:spacing w:line="580" w:lineRule="exact"/>
        <w:jc w:val="center"/>
        <w:rPr>
          <w:rFonts w:ascii="Times New Roman" w:hAnsi="Times New Roman" w:eastAsia="方正小标宋简体" w:cs="Times New Roman"/>
          <w:color w:val="000000"/>
          <w:sz w:val="36"/>
          <w:szCs w:val="36"/>
          <w:shd w:val="clear" w:color="auto" w:fill="FFFFFF"/>
        </w:rPr>
      </w:pPr>
    </w:p>
    <w:p>
      <w:pPr>
        <w:widowControl/>
        <w:spacing w:line="580" w:lineRule="exact"/>
        <w:jc w:val="center"/>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普通高等学校学历继续教育办学基本要求</w:t>
      </w:r>
    </w:p>
    <w:p>
      <w:pPr>
        <w:widowControl/>
        <w:spacing w:line="580" w:lineRule="exact"/>
        <w:jc w:val="center"/>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（试行）</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普通高等学校学历继续教育办学基本要求包括办学方向、办学定位、制度机制等总体要求，师资和管理人员、设施资源、经费投入等条件要求，以及具体</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要求。办学基本要求是有关部门对所属高校学历继续教育核定办学资质、确定招生计划上限、监测办学质量、评价办学水平的重要依据。具体如下：</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（一）坚持党的全面领导。</w:t>
      </w:r>
      <w:r>
        <w:rPr>
          <w:rFonts w:ascii="Times New Roman" w:hAnsi="Times New Roman" w:eastAsia="仿宋_GB2312" w:cs="Times New Roman"/>
          <w:sz w:val="32"/>
          <w:szCs w:val="32"/>
        </w:rPr>
        <w:t>坚持高校党委对学历继续教育的全面领导，全面贯彻党的教育方针，坚持社会主义办学方向，服务国家和区域发展战略，</w:t>
      </w:r>
      <w:r>
        <w:rPr>
          <w:rFonts w:hint="eastAsia" w:ascii="Times New Roman" w:hAnsi="Times New Roman" w:eastAsia="仿宋_GB2312" w:cs="Times New Roman"/>
          <w:sz w:val="32"/>
          <w:szCs w:val="32"/>
        </w:rPr>
        <w:t>助力</w:t>
      </w:r>
      <w:r>
        <w:rPr>
          <w:rFonts w:ascii="Times New Roman" w:hAnsi="Times New Roman" w:eastAsia="仿宋_GB2312" w:cs="Times New Roman"/>
          <w:sz w:val="32"/>
          <w:szCs w:val="32"/>
        </w:rPr>
        <w:t>学习型社会和</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全民终身学习教育体系建设。</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（二）落实立德树人根本任务。</w:t>
      </w:r>
      <w:r>
        <w:rPr>
          <w:rFonts w:ascii="Times New Roman" w:hAnsi="Times New Roman" w:eastAsia="仿宋_GB2312" w:cs="Times New Roman"/>
          <w:sz w:val="32"/>
          <w:szCs w:val="32"/>
        </w:rPr>
        <w:t>把思想政治教育贯穿人才培养全过程，</w:t>
      </w:r>
      <w:r>
        <w:rPr>
          <w:rFonts w:hint="eastAsia" w:ascii="Times New Roman" w:hAnsi="Times New Roman" w:eastAsia="仿宋_GB2312" w:cs="Times New Roman"/>
          <w:sz w:val="32"/>
          <w:szCs w:val="32"/>
        </w:rPr>
        <w:t>突出党的创新理论最新成果，</w:t>
      </w:r>
      <w:r>
        <w:rPr>
          <w:rFonts w:ascii="Times New Roman" w:hAnsi="Times New Roman" w:eastAsia="仿宋_GB2312" w:cs="Times New Roman"/>
          <w:sz w:val="32"/>
          <w:szCs w:val="32"/>
        </w:rPr>
        <w:t>适应</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在职特点，拓宽育人途径，思政课程与课程思政</w:t>
      </w:r>
      <w:r>
        <w:rPr>
          <w:rFonts w:hint="eastAsia" w:ascii="Times New Roman" w:hAnsi="Times New Roman" w:eastAsia="仿宋_GB2312" w:cs="Times New Roman"/>
          <w:sz w:val="32"/>
          <w:szCs w:val="32"/>
        </w:rPr>
        <w:t>有效衔接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将思想政治教育</w:t>
      </w:r>
      <w:r>
        <w:rPr>
          <w:rFonts w:ascii="Times New Roman" w:hAnsi="Times New Roman" w:eastAsia="仿宋_GB2312" w:cs="Times New Roman"/>
          <w:sz w:val="32"/>
          <w:szCs w:val="32"/>
        </w:rPr>
        <w:t>融入人才培养各环节。</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（三）明确办学定位。</w:t>
      </w:r>
      <w:r>
        <w:rPr>
          <w:rFonts w:ascii="Times New Roman" w:hAnsi="Times New Roman" w:eastAsia="仿宋_GB2312" w:cs="Times New Roman"/>
          <w:sz w:val="32"/>
          <w:szCs w:val="32"/>
        </w:rPr>
        <w:t>明确学校举办学历继续教育的办学定位，制定学历继续教育发展规划，并纳入学校整体发展规划和大学章程。学历继续教育工作纳入学校党委、行政议事议程。</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（四）建立完善的制度机制。</w:t>
      </w:r>
      <w:r>
        <w:rPr>
          <w:rFonts w:ascii="Times New Roman" w:hAnsi="Times New Roman" w:eastAsia="仿宋_GB2312" w:cs="Times New Roman"/>
          <w:sz w:val="32"/>
          <w:szCs w:val="32"/>
        </w:rPr>
        <w:t>有完</w:t>
      </w:r>
      <w:r>
        <w:rPr>
          <w:rFonts w:hint="eastAsia" w:ascii="Times New Roman" w:hAnsi="Times New Roman" w:eastAsia="仿宋_GB2312" w:cs="Times New Roman"/>
          <w:sz w:val="32"/>
          <w:szCs w:val="32"/>
        </w:rPr>
        <w:t>整</w:t>
      </w:r>
      <w:r>
        <w:rPr>
          <w:rFonts w:ascii="Times New Roman" w:hAnsi="Times New Roman" w:eastAsia="仿宋_GB2312" w:cs="Times New Roman"/>
          <w:sz w:val="32"/>
          <w:szCs w:val="32"/>
        </w:rPr>
        <w:t>的学历继续教育制度机制和质量管理体系，有特色突出的分专业人才培养方案。</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二、条件要求</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（一）师资和管理人员</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师资包括主讲教师和辅导教师。主讲教师和辅导教师应具备教师资格。</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讲教师。主讲教师为独立承担学历继续教育课程教学任务的教师，由学校聘用使用，含本校专任教师和本校兼职教师（兼职教师按0.5系数折算）。其中本校专任教师占主讲教师的比例不低于60%，主讲教师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200。专任教师和兼职教师中副高级及以上专业技术职务比例均不低于30%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在籍学生数是指具有学籍并在本校注册的学历继续教育学生数，下同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辅导教师。辅导教师为承担学历继续教育课程辅导答疑、批改作业、辅导实验实训、组织课堂讨论等任务的辅助教学人员，包含本校直接聘用的辅导教师数和校外教学点聘用并经高校认定的辅导教师数（校外教学点聘用按0.5系数折算）。辅导教师总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3.管理人员。管理人员为</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学历继续教育</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的行政人员、专兼职班主任以及</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网络支持、技术保障等工作的技术人员。管理人员数为本校有关管理人员</w:t>
      </w:r>
      <w:r>
        <w:rPr>
          <w:rFonts w:hint="eastAsia" w:ascii="Times New Roman" w:hAnsi="Times New Roman" w:eastAsia="仿宋_GB2312" w:cs="Times New Roman"/>
          <w:sz w:val="32"/>
          <w:szCs w:val="32"/>
        </w:rPr>
        <w:t>数</w:t>
      </w:r>
      <w:r>
        <w:rPr>
          <w:rFonts w:ascii="Times New Roman" w:hAnsi="Times New Roman" w:eastAsia="仿宋_GB2312" w:cs="Times New Roman"/>
          <w:sz w:val="32"/>
          <w:szCs w:val="32"/>
        </w:rPr>
        <w:t>和校外教学点管理人员数</w:t>
      </w:r>
      <w:r>
        <w:rPr>
          <w:rFonts w:hint="eastAsia" w:ascii="Times New Roman" w:hAnsi="Times New Roman" w:eastAsia="仿宋_GB2312" w:cs="Times New Roman"/>
          <w:sz w:val="32"/>
          <w:szCs w:val="32"/>
        </w:rPr>
        <w:t>总和</w:t>
      </w:r>
      <w:r>
        <w:rPr>
          <w:rFonts w:ascii="Times New Roman" w:hAnsi="Times New Roman" w:eastAsia="仿宋_GB2312" w:cs="Times New Roman"/>
          <w:sz w:val="32"/>
          <w:szCs w:val="32"/>
        </w:rPr>
        <w:t>，管理人员数与在籍学生数比例不低于1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200。每个校外教学点专职管理人员不低于3人。   </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（二）设施资源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1.教学平台。</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自主开发、购买或租用的教学平台</w:t>
      </w:r>
      <w:r>
        <w:rPr>
          <w:rFonts w:hint="eastAsia" w:ascii="Times New Roman" w:hAnsi="Times New Roman" w:eastAsia="仿宋_GB2312" w:cs="Times New Roman"/>
          <w:sz w:val="32"/>
          <w:szCs w:val="32"/>
        </w:rPr>
        <w:t>，能够满足</w:t>
      </w:r>
      <w:r>
        <w:rPr>
          <w:rFonts w:ascii="Times New Roman" w:hAnsi="Times New Roman" w:eastAsia="仿宋_GB2312" w:cs="Times New Roman"/>
          <w:sz w:val="32"/>
          <w:szCs w:val="32"/>
        </w:rPr>
        <w:t>在籍生</w:t>
      </w:r>
      <w:r>
        <w:rPr>
          <w:rFonts w:hint="eastAsia" w:ascii="Times New Roman" w:hAnsi="Times New Roman" w:eastAsia="仿宋_GB2312" w:cs="Times New Roman"/>
          <w:sz w:val="32"/>
          <w:szCs w:val="32"/>
        </w:rPr>
        <w:t>在线</w:t>
      </w:r>
      <w:r>
        <w:rPr>
          <w:rFonts w:ascii="Times New Roman" w:hAnsi="Times New Roman" w:eastAsia="仿宋_GB2312" w:cs="Times New Roman"/>
          <w:sz w:val="32"/>
          <w:szCs w:val="32"/>
        </w:rPr>
        <w:t>学习</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数字资源</w:t>
      </w:r>
      <w:r>
        <w:rPr>
          <w:rFonts w:ascii="Times New Roman" w:hAnsi="Times New Roman" w:eastAsia="仿宋_GB2312" w:cs="Times New Roman"/>
          <w:sz w:val="32"/>
          <w:szCs w:val="32"/>
        </w:rPr>
        <w:t>。包括网络课程、在线开放课程和直播教学。网络课程是指提前制作并在教学平台上呈现，供学生学习的课程。在线开放课程是依托网络开展、以互动学习资源为主，具有学习评价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即时反馈和交互参与机制的课程。</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均需按一门完整课程为一个单位计算。学校自主开发的网络课程占网络课程总量的比例不低于30%。</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教学设施</w:t>
      </w:r>
      <w:r>
        <w:rPr>
          <w:rFonts w:ascii="Times New Roman" w:hAnsi="Times New Roman" w:eastAsia="仿宋_GB2312" w:cs="Times New Roman"/>
          <w:sz w:val="32"/>
          <w:szCs w:val="32"/>
        </w:rPr>
        <w:t>。校本部和每个校外教学点应具有满足面授教学</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的教学用房、实验实训设备等。教学用房面积为可供学历继续教育持续使用的学校教学用房面积和校外教学点教学用房面积的总和。教学用房包括教室、计算机用房、实验实训室，不含办公室、会议室、教研室、图书馆、室内体育用房。生均教学用房面积应不低于1平方米/生。校外教学点应具有满足学生现场学习和考试所需的计算机数，学生规模为200人以下的，每个校外教学点教学计算机数不低于40台，每增加</w:t>
      </w:r>
      <w:r>
        <w:rPr>
          <w:rFonts w:hint="eastAsia" w:ascii="Times New Roman" w:hAnsi="Times New Roman" w:eastAsia="仿宋_GB2312" w:cs="Times New Roman"/>
          <w:sz w:val="32"/>
          <w:szCs w:val="32"/>
        </w:rPr>
        <w:t>100</w:t>
      </w:r>
      <w:r>
        <w:rPr>
          <w:rFonts w:ascii="Times New Roman" w:hAnsi="Times New Roman" w:eastAsia="仿宋_GB2312" w:cs="Times New Roman"/>
          <w:sz w:val="32"/>
          <w:szCs w:val="32"/>
        </w:rPr>
        <w:t>人按照1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10增加。实验实训设备种类、数量满足专业和学习需求。</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（三）经费投入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学校应有保证正常教育教学的稳定经费投入。办学经费为年度列支的用于学历继续教育日常办学的经费，学校拨付给设点单位的工作经费纳入日常办学经费统计。学历继续教育学费总额中用于学历继续教育办学经费的比例应不低于70%。</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2.学校拨付给设点单位的工作经费占学费总额的比例。高校拨付给设点单位用于校外教学点教育教学和管理工作使用的经费（不包括专兼职教师、管理人员的课酬和劳务支出）占学费总额的比例不高于50%。</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三、工作要求</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（一）数据采集要求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主办</w:t>
      </w:r>
      <w:r>
        <w:rPr>
          <w:rFonts w:ascii="Times New Roman" w:hAnsi="Times New Roman" w:eastAsia="仿宋_GB2312" w:cs="Times New Roman"/>
          <w:sz w:val="32"/>
          <w:szCs w:val="32"/>
        </w:rPr>
        <w:t>高校办学有关</w:t>
      </w:r>
      <w:r>
        <w:rPr>
          <w:rFonts w:hint="eastAsia" w:ascii="Times New Roman" w:hAnsi="Times New Roman" w:eastAsia="仿宋_GB2312" w:cs="Times New Roman"/>
          <w:sz w:val="32"/>
          <w:szCs w:val="32"/>
        </w:rPr>
        <w:t>数据及</w:t>
      </w:r>
      <w:r>
        <w:rPr>
          <w:rFonts w:ascii="Times New Roman" w:hAnsi="Times New Roman" w:eastAsia="仿宋_GB2312" w:cs="Times New Roman"/>
          <w:sz w:val="32"/>
          <w:szCs w:val="32"/>
        </w:rPr>
        <w:t>情况通过高等继续教育信息管理系统</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采集。</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（二）核定办学资质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省级教育行政部门可结合本地实际情况，提出不低于国家办学基本要求的</w:t>
      </w:r>
      <w:r>
        <w:rPr>
          <w:rFonts w:hint="eastAsia" w:ascii="Times New Roman" w:hAnsi="Times New Roman" w:eastAsia="仿宋_GB2312" w:cs="Times New Roman"/>
          <w:sz w:val="32"/>
          <w:szCs w:val="32"/>
        </w:rPr>
        <w:t>本地</w:t>
      </w:r>
      <w:r>
        <w:rPr>
          <w:rFonts w:ascii="Times New Roman" w:hAnsi="Times New Roman" w:eastAsia="仿宋_GB2312" w:cs="Times New Roman"/>
          <w:sz w:val="32"/>
          <w:szCs w:val="32"/>
        </w:rPr>
        <w:t>办学</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要求。教育行政部门逐步建立通过办学基本</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核定高校学历继续教育办学资质的机制。</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（三）确定计划上限</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教育部核定部属高校招生计划上限，指导各省级教育行政部门、有关部门（单位）教育司（局）核定所属高校招生计划上限。各</w:t>
      </w:r>
      <w:r>
        <w:rPr>
          <w:rFonts w:hint="eastAsia" w:ascii="Times New Roman" w:hAnsi="Times New Roman" w:eastAsia="仿宋_GB2312" w:cs="Times New Roman"/>
          <w:sz w:val="32"/>
          <w:szCs w:val="32"/>
        </w:rPr>
        <w:t>省级教育行政部门</w:t>
      </w:r>
      <w:r>
        <w:rPr>
          <w:rFonts w:ascii="Times New Roman" w:hAnsi="Times New Roman" w:eastAsia="仿宋_GB2312" w:cs="Times New Roman"/>
          <w:sz w:val="32"/>
          <w:szCs w:val="32"/>
        </w:rPr>
        <w:t>、高校主管部门应根据基本办学要求，结合社会需要和办学实际，</w:t>
      </w:r>
      <w:r>
        <w:rPr>
          <w:rFonts w:hint="eastAsia" w:ascii="Times New Roman" w:hAnsi="Times New Roman" w:eastAsia="仿宋_GB2312" w:cs="Times New Roman"/>
          <w:sz w:val="32"/>
          <w:szCs w:val="32"/>
        </w:rPr>
        <w:t>分校</w:t>
      </w:r>
      <w:r>
        <w:rPr>
          <w:rFonts w:ascii="Times New Roman" w:hAnsi="Times New Roman" w:eastAsia="仿宋_GB2312" w:cs="Times New Roman"/>
          <w:sz w:val="32"/>
          <w:szCs w:val="32"/>
        </w:rPr>
        <w:t>提出所属高校学历继续教育年度招生计划上限。</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（四）开展质量监测</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教育行政部门依据采集的数据</w:t>
      </w:r>
      <w:r>
        <w:rPr>
          <w:rFonts w:hint="eastAsia" w:ascii="Times New Roman" w:hAnsi="Times New Roman" w:eastAsia="仿宋_GB2312" w:cs="Times New Roman"/>
          <w:sz w:val="32"/>
          <w:szCs w:val="32"/>
        </w:rPr>
        <w:t>及有关信息</w:t>
      </w:r>
      <w:r>
        <w:rPr>
          <w:rFonts w:ascii="Times New Roman" w:hAnsi="Times New Roman" w:eastAsia="仿宋_GB2312" w:cs="Times New Roman"/>
          <w:sz w:val="32"/>
          <w:szCs w:val="32"/>
        </w:rPr>
        <w:t>，对高校举办的学历继续教育开展常态化监测。可根据随机抽查、质量监测、教学评估、专项检查的情况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对办学质量低下或存在违规办学行为的所属高校，视情采取调减招生计划、限制招生、停止招生和取消办学资质处理。</w:t>
      </w:r>
    </w:p>
    <w:p>
      <w:pPr>
        <w:pStyle w:val="2"/>
        <w:ind w:firstLine="0" w:firstLineChars="0"/>
        <w:rPr>
          <w:rFonts w:hAnsi="宋体"/>
          <w:bCs/>
        </w:rPr>
      </w:pPr>
    </w:p>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C0ED5E-D762-401C-B1E2-9468BD9A5E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15FCD1-48BC-4515-9BFF-256B653546C8}"/>
  </w:font>
  <w:font w:name="pingfang sc">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B0500000000000000"/>
    <w:charset w:val="00"/>
    <w:family w:val="swiss"/>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3" w:fontKey="{BAC918B3-4787-4FC6-B29D-6E2BA5DE919A}"/>
  </w:font>
  <w:font w:name="仿宋_GB2312">
    <w:panose1 w:val="02010609030101010101"/>
    <w:charset w:val="86"/>
    <w:family w:val="modern"/>
    <w:pitch w:val="default"/>
    <w:sig w:usb0="00000001" w:usb1="080E0000" w:usb2="00000000" w:usb3="00000000" w:csb0="00040000" w:csb1="00000000"/>
    <w:embedRegular r:id="rId4" w:fontKey="{030BCD4A-CC99-4D63-A4B7-8A499FC6D2F7}"/>
  </w:font>
  <w:font w:name="楷体">
    <w:panose1 w:val="02010609060101010101"/>
    <w:charset w:val="86"/>
    <w:family w:val="modern"/>
    <w:pitch w:val="default"/>
    <w:sig w:usb0="800002BF" w:usb1="38CF7CFA" w:usb2="00000016" w:usb3="00000000" w:csb0="00040001" w:csb1="00000000"/>
    <w:embedRegular r:id="rId5" w:fontKey="{AB8CA6E8-A1B7-417A-9217-347834A45D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OGM2MGIzZWIzMTIzMjRiZTgzZGNjNzY5MjMyYmYifQ=="/>
  </w:docVars>
  <w:rsids>
    <w:rsidRoot w:val="610722B5"/>
    <w:rsid w:val="00217A4F"/>
    <w:rsid w:val="00374957"/>
    <w:rsid w:val="00665C29"/>
    <w:rsid w:val="007507F1"/>
    <w:rsid w:val="00DB7FBD"/>
    <w:rsid w:val="00EA6D8E"/>
    <w:rsid w:val="00F423F7"/>
    <w:rsid w:val="021B2E86"/>
    <w:rsid w:val="02212E6A"/>
    <w:rsid w:val="036E1052"/>
    <w:rsid w:val="03FC3ACA"/>
    <w:rsid w:val="06AB3EB1"/>
    <w:rsid w:val="06E77DE3"/>
    <w:rsid w:val="06ED3120"/>
    <w:rsid w:val="077B316A"/>
    <w:rsid w:val="07892EFD"/>
    <w:rsid w:val="0993498D"/>
    <w:rsid w:val="0D5A1D58"/>
    <w:rsid w:val="0DF20A80"/>
    <w:rsid w:val="0EEB2DAF"/>
    <w:rsid w:val="0EF152A9"/>
    <w:rsid w:val="10A779A0"/>
    <w:rsid w:val="10B901E7"/>
    <w:rsid w:val="10CD63E9"/>
    <w:rsid w:val="11445DFA"/>
    <w:rsid w:val="135148B4"/>
    <w:rsid w:val="153D4D69"/>
    <w:rsid w:val="161631A0"/>
    <w:rsid w:val="17AF3BE3"/>
    <w:rsid w:val="18641E53"/>
    <w:rsid w:val="19094D78"/>
    <w:rsid w:val="1A141262"/>
    <w:rsid w:val="1A9721AB"/>
    <w:rsid w:val="1EF503D0"/>
    <w:rsid w:val="1FA629A6"/>
    <w:rsid w:val="201A402B"/>
    <w:rsid w:val="221962B5"/>
    <w:rsid w:val="2350644D"/>
    <w:rsid w:val="2358192C"/>
    <w:rsid w:val="23D70F4B"/>
    <w:rsid w:val="25F20537"/>
    <w:rsid w:val="29B36AA5"/>
    <w:rsid w:val="29C42F3C"/>
    <w:rsid w:val="2A780460"/>
    <w:rsid w:val="2A9166B1"/>
    <w:rsid w:val="2B930B4C"/>
    <w:rsid w:val="2B9C4766"/>
    <w:rsid w:val="2BC51FFD"/>
    <w:rsid w:val="2D4D7DD5"/>
    <w:rsid w:val="2DC6306F"/>
    <w:rsid w:val="2E4D4B17"/>
    <w:rsid w:val="2E4E3924"/>
    <w:rsid w:val="2F151A6A"/>
    <w:rsid w:val="2FCE41E6"/>
    <w:rsid w:val="31265080"/>
    <w:rsid w:val="312E0BAB"/>
    <w:rsid w:val="31390BE5"/>
    <w:rsid w:val="32F32A21"/>
    <w:rsid w:val="34811189"/>
    <w:rsid w:val="35D373CF"/>
    <w:rsid w:val="37FE7E72"/>
    <w:rsid w:val="3B617D3B"/>
    <w:rsid w:val="3C5D3D98"/>
    <w:rsid w:val="3E2C7E4F"/>
    <w:rsid w:val="3E554590"/>
    <w:rsid w:val="3F50464B"/>
    <w:rsid w:val="414979A6"/>
    <w:rsid w:val="42096F6C"/>
    <w:rsid w:val="44DE6E08"/>
    <w:rsid w:val="454C49F3"/>
    <w:rsid w:val="45642385"/>
    <w:rsid w:val="45805A9A"/>
    <w:rsid w:val="47146532"/>
    <w:rsid w:val="47C5524C"/>
    <w:rsid w:val="48BD520B"/>
    <w:rsid w:val="4966547D"/>
    <w:rsid w:val="498D2BBD"/>
    <w:rsid w:val="4AFD2237"/>
    <w:rsid w:val="4B15746D"/>
    <w:rsid w:val="4BF773AE"/>
    <w:rsid w:val="4C4D036D"/>
    <w:rsid w:val="4EB52A33"/>
    <w:rsid w:val="4F482E4B"/>
    <w:rsid w:val="4FDD49CB"/>
    <w:rsid w:val="50A516AF"/>
    <w:rsid w:val="518B5EEE"/>
    <w:rsid w:val="52723847"/>
    <w:rsid w:val="56AC441C"/>
    <w:rsid w:val="5715607D"/>
    <w:rsid w:val="585F2DBE"/>
    <w:rsid w:val="59FE35E0"/>
    <w:rsid w:val="5A643B9C"/>
    <w:rsid w:val="5AB45803"/>
    <w:rsid w:val="5C6813C3"/>
    <w:rsid w:val="5CE65D87"/>
    <w:rsid w:val="5EC447BF"/>
    <w:rsid w:val="5F3F6444"/>
    <w:rsid w:val="5F504897"/>
    <w:rsid w:val="60196FC2"/>
    <w:rsid w:val="610722B5"/>
    <w:rsid w:val="621D138E"/>
    <w:rsid w:val="62CF7303"/>
    <w:rsid w:val="67C11575"/>
    <w:rsid w:val="6BAC4F3F"/>
    <w:rsid w:val="6D323B6A"/>
    <w:rsid w:val="6D683A80"/>
    <w:rsid w:val="6E565636"/>
    <w:rsid w:val="71C51281"/>
    <w:rsid w:val="722E314B"/>
    <w:rsid w:val="7579735D"/>
    <w:rsid w:val="785B25CD"/>
    <w:rsid w:val="7A543574"/>
    <w:rsid w:val="7C544B54"/>
    <w:rsid w:val="7CA47255"/>
    <w:rsid w:val="7D17566C"/>
    <w:rsid w:val="7DB806C9"/>
    <w:rsid w:val="7DC24AFD"/>
    <w:rsid w:val="7EB2304E"/>
    <w:rsid w:val="7ED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4A148C"/>
      <w:u w:val="single"/>
    </w:rPr>
  </w:style>
  <w:style w:type="character" w:styleId="12">
    <w:name w:val="Emphasis"/>
    <w:basedOn w:val="9"/>
    <w:qFormat/>
    <w:uiPriority w:val="0"/>
    <w:rPr>
      <w:color w:val="F73131"/>
    </w:rPr>
  </w:style>
  <w:style w:type="character" w:styleId="13">
    <w:name w:val="Hyperlink"/>
    <w:basedOn w:val="9"/>
    <w:qFormat/>
    <w:uiPriority w:val="0"/>
    <w:rPr>
      <w:color w:val="001BA0"/>
      <w:u w:val="single"/>
    </w:rPr>
  </w:style>
  <w:style w:type="character" w:styleId="14">
    <w:name w:val="HTML Cite"/>
    <w:basedOn w:val="9"/>
    <w:qFormat/>
    <w:uiPriority w:val="0"/>
    <w:rPr>
      <w:color w:val="006D21"/>
    </w:rPr>
  </w:style>
  <w:style w:type="paragraph" w:customStyle="1" w:styleId="15">
    <w:name w:val="p1"/>
    <w:basedOn w:val="1"/>
    <w:qFormat/>
    <w:uiPriority w:val="0"/>
    <w:pPr>
      <w:spacing w:line="560" w:lineRule="atLeast"/>
    </w:pPr>
    <w:rPr>
      <w:rFonts w:hint="eastAsia" w:ascii="pingfang sc" w:hAnsi="pingfang sc" w:eastAsia="pingfang sc" w:cs="Times New Roman"/>
      <w:kern w:val="0"/>
      <w:sz w:val="32"/>
      <w:szCs w:val="32"/>
    </w:rPr>
  </w:style>
  <w:style w:type="paragraph" w:customStyle="1" w:styleId="16">
    <w:name w:val="p3"/>
    <w:basedOn w:val="1"/>
    <w:qFormat/>
    <w:uiPriority w:val="0"/>
    <w:pPr>
      <w:spacing w:line="560" w:lineRule="atLeast"/>
      <w:jc w:val="center"/>
    </w:pPr>
    <w:rPr>
      <w:rFonts w:hint="eastAsia" w:ascii="pingfang sc" w:hAnsi="pingfang sc" w:eastAsia="pingfang sc" w:cs="Times New Roman"/>
      <w:kern w:val="0"/>
      <w:sz w:val="40"/>
      <w:szCs w:val="40"/>
    </w:rPr>
  </w:style>
  <w:style w:type="paragraph" w:customStyle="1" w:styleId="17">
    <w:name w:val="p4"/>
    <w:basedOn w:val="1"/>
    <w:qFormat/>
    <w:uiPriority w:val="0"/>
    <w:pPr>
      <w:spacing w:line="560" w:lineRule="atLeast"/>
    </w:pPr>
    <w:rPr>
      <w:rFonts w:ascii="Helvetica" w:hAnsi="Helvetica" w:eastAsia="Helvetica" w:cs="Times New Roman"/>
      <w:kern w:val="0"/>
      <w:sz w:val="32"/>
      <w:szCs w:val="32"/>
    </w:rPr>
  </w:style>
  <w:style w:type="paragraph" w:customStyle="1" w:styleId="18">
    <w:name w:val="p5"/>
    <w:basedOn w:val="1"/>
    <w:qFormat/>
    <w:uiPriority w:val="0"/>
    <w:pPr>
      <w:spacing w:line="560" w:lineRule="atLeast"/>
      <w:ind w:firstLine="640"/>
    </w:pPr>
    <w:rPr>
      <w:rFonts w:hint="eastAsia" w:ascii="pingfang sc" w:hAnsi="pingfang sc" w:eastAsia="pingfang sc" w:cs="Times New Roman"/>
      <w:kern w:val="0"/>
      <w:sz w:val="32"/>
      <w:szCs w:val="32"/>
    </w:rPr>
  </w:style>
  <w:style w:type="paragraph" w:customStyle="1" w:styleId="19">
    <w:name w:val="p6"/>
    <w:basedOn w:val="1"/>
    <w:qFormat/>
    <w:uiPriority w:val="0"/>
    <w:pPr>
      <w:spacing w:line="560" w:lineRule="atLeast"/>
      <w:ind w:firstLine="642"/>
    </w:pPr>
    <w:rPr>
      <w:rFonts w:ascii="pingfang sc" w:hAnsi="pingfang sc" w:eastAsia="pingfang sc" w:cs="Times New Roman"/>
      <w:kern w:val="0"/>
      <w:sz w:val="32"/>
      <w:szCs w:val="32"/>
    </w:rPr>
  </w:style>
  <w:style w:type="character" w:customStyle="1" w:styleId="20">
    <w:name w:val="s2"/>
    <w:basedOn w:val="9"/>
    <w:qFormat/>
    <w:uiPriority w:val="0"/>
    <w:rPr>
      <w:rFonts w:hint="eastAsia" w:ascii="pingfang sc" w:hAnsi="pingfang sc" w:eastAsia="pingfang sc" w:cs="pingfang sc"/>
      <w:sz w:val="21"/>
      <w:szCs w:val="21"/>
    </w:rPr>
  </w:style>
  <w:style w:type="paragraph" w:customStyle="1" w:styleId="21">
    <w:name w:val="p7"/>
    <w:basedOn w:val="1"/>
    <w:qFormat/>
    <w:uiPriority w:val="0"/>
    <w:pPr>
      <w:spacing w:line="560" w:lineRule="atLeast"/>
      <w:ind w:firstLine="640"/>
      <w:jc w:val="left"/>
    </w:pPr>
    <w:rPr>
      <w:rFonts w:hint="eastAsia" w:ascii="pingfang sc" w:hAnsi="pingfang sc" w:eastAsia="pingfang sc" w:cs="Times New Roman"/>
      <w:kern w:val="0"/>
      <w:sz w:val="32"/>
      <w:szCs w:val="32"/>
    </w:rPr>
  </w:style>
  <w:style w:type="character" w:customStyle="1" w:styleId="22">
    <w:name w:val="s1"/>
    <w:basedOn w:val="9"/>
    <w:qFormat/>
    <w:uiPriority w:val="0"/>
    <w:rPr>
      <w:rFonts w:hint="default" w:ascii="Helvetica" w:hAnsi="Helvetica" w:eastAsia="Helvetica" w:cs="Helvetica"/>
      <w:sz w:val="32"/>
      <w:szCs w:val="32"/>
    </w:rPr>
  </w:style>
  <w:style w:type="character" w:customStyle="1" w:styleId="23">
    <w:name w:val="c-icon28"/>
    <w:basedOn w:val="9"/>
    <w:qFormat/>
    <w:uiPriority w:val="0"/>
  </w:style>
  <w:style w:type="character" w:customStyle="1" w:styleId="24">
    <w:name w:val="hover25"/>
    <w:basedOn w:val="9"/>
    <w:qFormat/>
    <w:uiPriority w:val="0"/>
  </w:style>
  <w:style w:type="character" w:customStyle="1" w:styleId="25">
    <w:name w:val="hover26"/>
    <w:basedOn w:val="9"/>
    <w:qFormat/>
    <w:uiPriority w:val="0"/>
    <w:rPr>
      <w:color w:val="315EFB"/>
    </w:rPr>
  </w:style>
  <w:style w:type="character" w:customStyle="1" w:styleId="26">
    <w:name w:val="content-right_8zs401"/>
    <w:basedOn w:val="9"/>
    <w:qFormat/>
    <w:uiPriority w:val="0"/>
  </w:style>
  <w:style w:type="character" w:customStyle="1" w:styleId="27">
    <w:name w:val="hover20"/>
    <w:basedOn w:val="9"/>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1960</Words>
  <Characters>1994</Characters>
  <Lines>14</Lines>
  <Paragraphs>4</Paragraphs>
  <TotalTime>1</TotalTime>
  <ScaleCrop>false</ScaleCrop>
  <LinksUpToDate>false</LinksUpToDate>
  <CharactersWithSpaces>1997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2022-08-16T05:45:00Z</dcterms:created>
  <dc:creator>ZHANGLEI</dc:creator>
  <cp:lastModifiedBy>宁宁</cp:lastModifiedBy>
  <cp:lastPrinted>2022-07-12T11:02:00Z</cp:lastPrinted>
  <dcterms:modified xsi:type="dcterms:W3CDTF">2022-10-28T01:02:16Z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50EDB909F25F4373A70788DAF28F870F</vt:lpwstr>
  </property>
</Properties>
</file>