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</w:t>
      </w:r>
    </w:p>
    <w:p>
      <w:pPr>
        <w:widowControl/>
        <w:spacing w:line="600" w:lineRule="exact"/>
        <w:jc w:val="center"/>
        <w:rPr>
          <w:rFonts w:ascii="黑体" w:hAnsi="仿宋" w:eastAsia="黑体" w:cs="Times New Roman"/>
          <w:kern w:val="0"/>
          <w:sz w:val="24"/>
          <w:szCs w:val="24"/>
        </w:rPr>
      </w:pPr>
      <w:r>
        <w:rPr>
          <w:rFonts w:hint="eastAsia" w:ascii="黑体" w:hAnsi="仿宋" w:eastAsia="黑体" w:cs="Times New Roman"/>
          <w:kern w:val="0"/>
          <w:sz w:val="32"/>
          <w:szCs w:val="32"/>
        </w:rPr>
        <w:t>黄淮学院会计档案保管期限表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050"/>
        <w:gridCol w:w="189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档案名称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保管期限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会计凭证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原始凭证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记账凭证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会计账簿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日记账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总账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明细分类、分户账或登记簿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其他辅助性账簿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财务会计报告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部门财务报告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永久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部门决算报告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永久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月度、季度、半年度报表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其他会计资料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银行存款余额调节表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银行对账单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会计档案移交清册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30年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会计档案保管清册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永久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会计档案销毁清册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永久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4050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会计档案鉴定意见书</w:t>
            </w:r>
          </w:p>
        </w:tc>
        <w:tc>
          <w:tcPr>
            <w:tcW w:w="1897" w:type="dxa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永久</w:t>
            </w:r>
          </w:p>
        </w:tc>
        <w:tc>
          <w:tcPr>
            <w:tcW w:w="1411" w:type="dxa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2RkOWE2MDJlN2ZkOTMxODM0NDRjMGMzYmU1YmYifQ=="/>
  </w:docVars>
  <w:rsids>
    <w:rsidRoot w:val="16BA3648"/>
    <w:rsid w:val="16B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hp</dc:creator>
  <cp:lastModifiedBy>hp</cp:lastModifiedBy>
  <dcterms:modified xsi:type="dcterms:W3CDTF">2023-10-31T07:16:12Z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0C60B34637954B99829ADE712A92117F_11</vt:lpwstr>
  </property>
</Properties>
</file>