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评分标准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为确保本次比赛的公平、公正、公开，特制定相应评分细则，比赛评分为10分制。评分标准及具体分值如下：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1、能够准确把握歌曲的旋律，有较好的音准，咬字清晰，对歌曲整体结构、节奏感把握到位。(2分)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2、合唱队音色好，声部演唱层次分明，符合歌曲特色，富有感染力。（2分）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3、指挥、领唱与合唱队之间配合默契，效果良好，演绎歌曲时感情充沛，能展现歌曲的意境。（2分）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4、服装整齐统一，仪表端庄，精神饱满，能够充分展现大学生良好风貌。（2分）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Style w:val="6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5、现场氛围好，整体表现力强，上下场迅速准时，进退场整齐有序。（2分）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31B70F25"/>
    <w:rsid w:val="2B43107D"/>
    <w:rsid w:val="31B70F25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2023-09-21T00:29:00Z</dcterms:created>
  <dc:creator>A Miracle</dc:creator>
  <cp:lastModifiedBy>A Miracle</cp:lastModifiedBy>
  <dcterms:modified xsi:type="dcterms:W3CDTF">2023-09-21T00:31:04Z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50082670936C4B1F84CAA7CC2753FA70_11</vt:lpwstr>
  </property>
</Properties>
</file>