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Theme="majorEastAsia" w:hAnsiTheme="majorEastAsia" w:eastAsiaTheme="majorEastAsia"/>
          <w:b/>
          <w:sz w:val="4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驻马店市“五个一工程”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重点扶持项目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作品汇总表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申报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门类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排名次序</w:t>
            </w: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戏剧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电影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电视剧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广播剧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歌曲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eastAsia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  <w:t>图书</w:t>
            </w: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6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7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OWFlMTlmYzM1NzczYTRhZGZjOTIzZjljOTA3MjkifQ=="/>
  </w:docVars>
  <w:rsids>
    <w:rsidRoot w:val="67C84B50"/>
    <w:rsid w:val="07447B7F"/>
    <w:rsid w:val="084631FD"/>
    <w:rsid w:val="1BA00ACD"/>
    <w:rsid w:val="24E7696C"/>
    <w:rsid w:val="48ED66DB"/>
    <w:rsid w:val="615B11EA"/>
    <w:rsid w:val="67C84B50"/>
    <w:rsid w:val="692520D3"/>
    <w:rsid w:val="7AEA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2022-08-15T08:09:00Z</dcterms:created>
  <dc:creator>Administrator</dc:creator>
  <cp:lastModifiedBy>晓飞</cp:lastModifiedBy>
  <cp:lastPrinted>2022-08-17T02:48:00Z</cp:lastPrinted>
  <dcterms:modified xsi:type="dcterms:W3CDTF">2023-07-28T02:21:03Z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09713753EA1F432196D281011DC1325F_12</vt:lpwstr>
  </property>
</Properties>
</file>