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436EF">
      <w:pPr>
        <w:autoSpaceDE w:val="0"/>
        <w:autoSpaceDN w:val="0"/>
        <w:adjustRightInd w:val="0"/>
        <w:jc w:val="both"/>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附件</w:t>
      </w:r>
    </w:p>
    <w:p w14:paraId="2D5F7A1E">
      <w:pPr>
        <w:autoSpaceDE w:val="0"/>
        <w:autoSpaceDN w:val="0"/>
        <w:adjustRightInd w:val="0"/>
        <w:jc w:val="center"/>
        <w:rPr>
          <w:rFonts w:hint="eastAsia" w:ascii="仿宋" w:hAnsi="仿宋" w:eastAsia="仿宋"/>
          <w:b/>
          <w:bCs/>
          <w:color w:val="000000"/>
          <w:sz w:val="32"/>
          <w:szCs w:val="32"/>
        </w:rPr>
      </w:pPr>
      <w:r>
        <w:rPr>
          <w:rFonts w:hint="eastAsia" w:ascii="宋体" w:hAnsi="宋体" w:eastAsia="宋体" w:cs="宋体"/>
          <w:b/>
          <w:bCs/>
          <w:color w:val="000000"/>
          <w:kern w:val="0"/>
          <w:sz w:val="28"/>
          <w:szCs w:val="28"/>
          <w:lang w:val="en-US" w:eastAsia="zh-CN" w:bidi="ar"/>
        </w:rPr>
        <w:t>河南省高等教育学会2025年度高等教育研究项目</w:t>
      </w:r>
      <w:r>
        <w:rPr>
          <w:rFonts w:hint="eastAsia" w:ascii="宋体" w:hAnsi="宋体" w:eastAsia="宋体" w:cs="宋体"/>
          <w:b/>
          <w:bCs/>
          <w:color w:val="000000"/>
          <w:sz w:val="28"/>
          <w:szCs w:val="28"/>
          <w:shd w:val="clear" w:color="auto" w:fill="FFFFFF"/>
          <w:lang w:val="en-US" w:eastAsia="zh-CN"/>
        </w:rPr>
        <w:t>拟推荐名单</w:t>
      </w:r>
    </w:p>
    <w:tbl>
      <w:tblPr>
        <w:tblStyle w:val="2"/>
        <w:tblW w:w="5062" w:type="pct"/>
        <w:jc w:val="center"/>
        <w:tblLayout w:type="autofit"/>
        <w:tblCellMar>
          <w:top w:w="0" w:type="dxa"/>
          <w:left w:w="108" w:type="dxa"/>
          <w:bottom w:w="0" w:type="dxa"/>
          <w:right w:w="108" w:type="dxa"/>
        </w:tblCellMar>
      </w:tblPr>
      <w:tblGrid>
        <w:gridCol w:w="622"/>
        <w:gridCol w:w="3785"/>
        <w:gridCol w:w="1155"/>
        <w:gridCol w:w="1380"/>
        <w:gridCol w:w="1686"/>
      </w:tblGrid>
      <w:tr w14:paraId="0BA82F66">
        <w:tblPrEx>
          <w:tblCellMar>
            <w:top w:w="0" w:type="dxa"/>
            <w:left w:w="108" w:type="dxa"/>
            <w:bottom w:w="0" w:type="dxa"/>
            <w:right w:w="108"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6CFAA319">
            <w:pPr>
              <w:autoSpaceDE w:val="0"/>
              <w:autoSpaceDN w:val="0"/>
              <w:adjustRightInd w:val="0"/>
              <w:snapToGrid w:val="0"/>
              <w:jc w:val="center"/>
              <w:rPr>
                <w:rFonts w:ascii="黑体" w:hAnsi="黑体" w:eastAsia="黑体" w:cs="黑体"/>
                <w:color w:val="000000"/>
                <w:sz w:val="28"/>
                <w:szCs w:val="28"/>
                <w:shd w:val="clear" w:color="auto" w:fill="auto"/>
                <w:lang w:val="zh-CN"/>
              </w:rPr>
            </w:pPr>
            <w:bookmarkStart w:id="0" w:name="_GoBack"/>
            <w:r>
              <w:rPr>
                <w:rFonts w:hint="eastAsia" w:ascii="黑体" w:hAnsi="黑体" w:eastAsia="黑体" w:cs="黑体"/>
                <w:color w:val="000000"/>
                <w:sz w:val="28"/>
                <w:szCs w:val="28"/>
                <w:shd w:val="clear" w:color="auto" w:fill="auto"/>
                <w:lang w:val="zh-CN"/>
              </w:rPr>
              <w:t>序号</w:t>
            </w:r>
          </w:p>
        </w:tc>
        <w:tc>
          <w:tcPr>
            <w:tcW w:w="3785" w:type="dxa"/>
            <w:tcBorders>
              <w:top w:val="single" w:color="auto" w:sz="6" w:space="0"/>
              <w:left w:val="single" w:color="auto" w:sz="6" w:space="0"/>
              <w:bottom w:val="single" w:color="auto" w:sz="6" w:space="0"/>
              <w:right w:val="single" w:color="auto" w:sz="6" w:space="0"/>
            </w:tcBorders>
            <w:noWrap w:val="0"/>
            <w:vAlign w:val="center"/>
          </w:tcPr>
          <w:p w14:paraId="1F6999C2">
            <w:pPr>
              <w:autoSpaceDE w:val="0"/>
              <w:autoSpaceDN w:val="0"/>
              <w:adjustRightInd w:val="0"/>
              <w:snapToGrid w:val="0"/>
              <w:jc w:val="center"/>
              <w:rPr>
                <w:rFonts w:ascii="黑体" w:hAnsi="黑体" w:eastAsia="黑体" w:cs="黑体"/>
                <w:color w:val="000000"/>
                <w:sz w:val="28"/>
                <w:szCs w:val="28"/>
                <w:shd w:val="clear" w:color="auto" w:fill="auto"/>
                <w:lang w:val="zh-CN"/>
              </w:rPr>
            </w:pPr>
            <w:r>
              <w:rPr>
                <w:rFonts w:hint="eastAsia" w:ascii="黑体" w:hAnsi="黑体" w:eastAsia="黑体" w:cs="黑体"/>
                <w:color w:val="000000"/>
                <w:sz w:val="28"/>
                <w:szCs w:val="28"/>
                <w:shd w:val="clear" w:color="auto" w:fill="auto"/>
                <w:lang w:val="zh-CN"/>
              </w:rPr>
              <w:t>项目名称</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D2F35BA">
            <w:pPr>
              <w:autoSpaceDE w:val="0"/>
              <w:autoSpaceDN w:val="0"/>
              <w:adjustRightInd w:val="0"/>
              <w:snapToGrid w:val="0"/>
              <w:jc w:val="center"/>
              <w:rPr>
                <w:rFonts w:hint="eastAsia" w:ascii="黑体" w:hAnsi="黑体" w:eastAsia="黑体" w:cs="黑体"/>
                <w:color w:val="000000"/>
                <w:sz w:val="28"/>
                <w:szCs w:val="28"/>
                <w:shd w:val="clear" w:color="auto" w:fill="auto"/>
                <w:lang w:val="en-US" w:eastAsia="zh-CN"/>
              </w:rPr>
            </w:pPr>
            <w:r>
              <w:rPr>
                <w:rFonts w:hint="eastAsia" w:ascii="黑体" w:hAnsi="黑体" w:eastAsia="黑体" w:cs="黑体"/>
                <w:color w:val="000000"/>
                <w:sz w:val="28"/>
                <w:szCs w:val="28"/>
                <w:shd w:val="clear" w:color="auto" w:fill="auto"/>
                <w:lang w:val="en-US" w:eastAsia="zh-CN"/>
              </w:rPr>
              <w:t>主持人</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7EDEF7DF">
            <w:pPr>
              <w:autoSpaceDE w:val="0"/>
              <w:autoSpaceDN w:val="0"/>
              <w:adjustRightInd w:val="0"/>
              <w:snapToGrid w:val="0"/>
              <w:jc w:val="center"/>
              <w:rPr>
                <w:rFonts w:hint="eastAsia" w:ascii="黑体" w:hAnsi="黑体" w:eastAsia="黑体" w:cs="黑体"/>
                <w:color w:val="000000"/>
                <w:sz w:val="28"/>
                <w:szCs w:val="28"/>
                <w:shd w:val="clear" w:color="auto" w:fill="auto"/>
                <w:lang w:val="en-US" w:eastAsia="zh-CN"/>
              </w:rPr>
            </w:pPr>
            <w:r>
              <w:rPr>
                <w:rFonts w:hint="eastAsia" w:ascii="黑体" w:hAnsi="黑体" w:eastAsia="黑体" w:cs="黑体"/>
                <w:color w:val="000000"/>
                <w:sz w:val="28"/>
                <w:szCs w:val="28"/>
                <w:shd w:val="clear" w:color="auto" w:fill="auto"/>
                <w:lang w:val="en-US" w:eastAsia="zh-CN"/>
              </w:rPr>
              <w:t>申报层次</w:t>
            </w:r>
          </w:p>
        </w:tc>
        <w:tc>
          <w:tcPr>
            <w:tcW w:w="1686" w:type="dxa"/>
            <w:tcBorders>
              <w:top w:val="single" w:color="auto" w:sz="6" w:space="0"/>
              <w:left w:val="single" w:color="auto" w:sz="6" w:space="0"/>
              <w:bottom w:val="single" w:color="auto" w:sz="6" w:space="0"/>
              <w:right w:val="single" w:color="auto" w:sz="6" w:space="0"/>
            </w:tcBorders>
            <w:noWrap w:val="0"/>
            <w:vAlign w:val="center"/>
          </w:tcPr>
          <w:p w14:paraId="04753B3B">
            <w:pPr>
              <w:autoSpaceDE w:val="0"/>
              <w:autoSpaceDN w:val="0"/>
              <w:adjustRightInd w:val="0"/>
              <w:snapToGrid w:val="0"/>
              <w:jc w:val="center"/>
              <w:rPr>
                <w:rFonts w:hint="eastAsia" w:ascii="黑体" w:hAnsi="黑体" w:eastAsia="黑体" w:cs="黑体"/>
                <w:color w:val="000000"/>
                <w:kern w:val="2"/>
                <w:sz w:val="28"/>
                <w:szCs w:val="28"/>
                <w:shd w:val="clear" w:color="auto" w:fill="auto"/>
                <w:lang w:val="zh-CN" w:eastAsia="zh-CN" w:bidi="ar-SA"/>
              </w:rPr>
            </w:pPr>
            <w:r>
              <w:rPr>
                <w:rFonts w:hint="eastAsia" w:ascii="黑体" w:hAnsi="黑体" w:eastAsia="黑体" w:cs="黑体"/>
                <w:color w:val="000000"/>
                <w:sz w:val="28"/>
                <w:szCs w:val="28"/>
                <w:shd w:val="clear" w:color="auto" w:fill="auto"/>
                <w:lang w:val="zh-CN"/>
              </w:rPr>
              <w:t>申报</w:t>
            </w:r>
            <w:r>
              <w:rPr>
                <w:rFonts w:hint="eastAsia" w:ascii="黑体" w:hAnsi="黑体" w:eastAsia="黑体" w:cs="黑体"/>
                <w:color w:val="000000"/>
                <w:sz w:val="28"/>
                <w:szCs w:val="28"/>
                <w:shd w:val="clear" w:color="auto" w:fill="auto"/>
              </w:rPr>
              <w:t>学院</w:t>
            </w:r>
          </w:p>
        </w:tc>
      </w:tr>
      <w:tr w14:paraId="5EEC946B">
        <w:tblPrEx>
          <w:tblCellMar>
            <w:top w:w="0" w:type="dxa"/>
            <w:left w:w="108" w:type="dxa"/>
            <w:bottom w:w="0" w:type="dxa"/>
            <w:right w:w="108" w:type="dxa"/>
          </w:tblCellMar>
        </w:tblPrEx>
        <w:trPr>
          <w:trHeight w:val="812"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02F2B194">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c>
          <w:tcPr>
            <w:tcW w:w="3785" w:type="dxa"/>
            <w:tcBorders>
              <w:top w:val="single" w:color="auto" w:sz="6" w:space="0"/>
              <w:left w:val="single" w:color="auto" w:sz="6" w:space="0"/>
              <w:bottom w:val="single" w:color="auto" w:sz="6" w:space="0"/>
              <w:right w:val="single" w:color="auto" w:sz="6" w:space="0"/>
            </w:tcBorders>
            <w:shd w:val="clear"/>
            <w:noWrap w:val="0"/>
            <w:vAlign w:val="center"/>
          </w:tcPr>
          <w:p w14:paraId="7098ABF4">
            <w:pPr>
              <w:jc w:val="center"/>
              <w:rPr>
                <w:rFonts w:hint="eastAsia" w:ascii="Calibri" w:hAnsi="Calibri" w:eastAsia="宋体" w:cs="Times New Roman"/>
                <w:color w:val="auto"/>
                <w:kern w:val="2"/>
                <w:sz w:val="24"/>
                <w:szCs w:val="24"/>
                <w:highlight w:val="none"/>
                <w:lang w:val="zh-CN" w:eastAsia="zh-CN" w:bidi="ar-SA"/>
              </w:rPr>
            </w:pPr>
            <w:r>
              <w:rPr>
                <w:rFonts w:hint="eastAsia" w:eastAsia="宋体" w:cs="Times New Roman"/>
                <w:color w:val="auto"/>
                <w:sz w:val="24"/>
                <w:szCs w:val="24"/>
                <w:highlight w:val="none"/>
                <w:lang w:val="en-US" w:eastAsia="zh-CN"/>
              </w:rPr>
              <w:t>应用型高校汉语言文学专业“学为中心”课堂教学范式改革与实践</w:t>
            </w:r>
          </w:p>
        </w:tc>
        <w:tc>
          <w:tcPr>
            <w:tcW w:w="1155" w:type="dxa"/>
            <w:tcBorders>
              <w:top w:val="single" w:color="auto" w:sz="6" w:space="0"/>
              <w:left w:val="single" w:color="auto" w:sz="6" w:space="0"/>
              <w:bottom w:val="single" w:color="auto" w:sz="6" w:space="0"/>
              <w:right w:val="single" w:color="auto" w:sz="6" w:space="0"/>
            </w:tcBorders>
            <w:shd w:val="clear"/>
            <w:noWrap w:val="0"/>
            <w:vAlign w:val="center"/>
          </w:tcPr>
          <w:p w14:paraId="225405B3">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尤平</w:t>
            </w:r>
          </w:p>
        </w:tc>
        <w:tc>
          <w:tcPr>
            <w:tcW w:w="1380" w:type="dxa"/>
            <w:tcBorders>
              <w:top w:val="single" w:color="auto" w:sz="6" w:space="0"/>
              <w:left w:val="single" w:color="auto" w:sz="6" w:space="0"/>
              <w:bottom w:val="single" w:color="auto" w:sz="6" w:space="0"/>
              <w:right w:val="single" w:color="auto" w:sz="6" w:space="0"/>
            </w:tcBorders>
            <w:shd w:val="clear"/>
            <w:noWrap w:val="0"/>
            <w:vAlign w:val="center"/>
          </w:tcPr>
          <w:p w14:paraId="1F9951B8">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重点</w:t>
            </w:r>
          </w:p>
        </w:tc>
        <w:tc>
          <w:tcPr>
            <w:tcW w:w="1686" w:type="dxa"/>
            <w:tcBorders>
              <w:top w:val="single" w:color="auto" w:sz="6" w:space="0"/>
              <w:left w:val="single" w:color="auto" w:sz="6" w:space="0"/>
              <w:bottom w:val="single" w:color="auto" w:sz="6" w:space="0"/>
              <w:right w:val="single" w:color="auto" w:sz="6" w:space="0"/>
            </w:tcBorders>
            <w:shd w:val="clear"/>
            <w:noWrap w:val="0"/>
            <w:vAlign w:val="center"/>
          </w:tcPr>
          <w:p w14:paraId="052EE590">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文化传媒学院</w:t>
            </w:r>
          </w:p>
        </w:tc>
      </w:tr>
      <w:tr w14:paraId="5261A93E">
        <w:tblPrEx>
          <w:tblCellMar>
            <w:top w:w="0" w:type="dxa"/>
            <w:left w:w="108" w:type="dxa"/>
            <w:bottom w:w="0" w:type="dxa"/>
            <w:right w:w="108" w:type="dxa"/>
          </w:tblCellMar>
        </w:tblPrEx>
        <w:trPr>
          <w:trHeight w:val="98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757FE635">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w:t>
            </w:r>
          </w:p>
        </w:tc>
        <w:tc>
          <w:tcPr>
            <w:tcW w:w="3785" w:type="dxa"/>
            <w:tcBorders>
              <w:top w:val="single" w:color="auto" w:sz="6" w:space="0"/>
              <w:left w:val="single" w:color="auto" w:sz="6" w:space="0"/>
              <w:bottom w:val="single" w:color="auto" w:sz="6" w:space="0"/>
              <w:right w:val="single" w:color="auto" w:sz="6" w:space="0"/>
            </w:tcBorders>
            <w:shd w:val="clear"/>
            <w:noWrap w:val="0"/>
            <w:vAlign w:val="center"/>
          </w:tcPr>
          <w:p w14:paraId="6878CD9F">
            <w:pPr>
              <w:jc w:val="center"/>
              <w:rPr>
                <w:rFonts w:hint="default"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高校卓越师范人才培养模式改革研究与实践</w:t>
            </w:r>
          </w:p>
        </w:tc>
        <w:tc>
          <w:tcPr>
            <w:tcW w:w="1155" w:type="dxa"/>
            <w:tcBorders>
              <w:top w:val="single" w:color="auto" w:sz="6" w:space="0"/>
              <w:left w:val="single" w:color="auto" w:sz="6" w:space="0"/>
              <w:bottom w:val="single" w:color="auto" w:sz="6" w:space="0"/>
              <w:right w:val="single" w:color="auto" w:sz="6" w:space="0"/>
            </w:tcBorders>
            <w:shd w:val="clear"/>
            <w:noWrap w:val="0"/>
            <w:vAlign w:val="center"/>
          </w:tcPr>
          <w:p w14:paraId="78E16B29">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赵春红</w:t>
            </w:r>
          </w:p>
        </w:tc>
        <w:tc>
          <w:tcPr>
            <w:tcW w:w="1380" w:type="dxa"/>
            <w:tcBorders>
              <w:top w:val="single" w:color="auto" w:sz="6" w:space="0"/>
              <w:left w:val="single" w:color="auto" w:sz="6" w:space="0"/>
              <w:bottom w:val="single" w:color="auto" w:sz="6" w:space="0"/>
              <w:right w:val="single" w:color="auto" w:sz="6" w:space="0"/>
            </w:tcBorders>
            <w:shd w:val="clear"/>
            <w:noWrap w:val="0"/>
            <w:vAlign w:val="center"/>
          </w:tcPr>
          <w:p w14:paraId="164EE3BA">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重点</w:t>
            </w:r>
          </w:p>
        </w:tc>
        <w:tc>
          <w:tcPr>
            <w:tcW w:w="1686" w:type="dxa"/>
            <w:tcBorders>
              <w:top w:val="single" w:color="auto" w:sz="6" w:space="0"/>
              <w:left w:val="single" w:color="auto" w:sz="6" w:space="0"/>
              <w:bottom w:val="single" w:color="auto" w:sz="6" w:space="0"/>
              <w:right w:val="single" w:color="auto" w:sz="6" w:space="0"/>
            </w:tcBorders>
            <w:shd w:val="clear"/>
            <w:noWrap w:val="0"/>
            <w:vAlign w:val="center"/>
          </w:tcPr>
          <w:p w14:paraId="0C016FDE">
            <w:pPr>
              <w:jc w:val="center"/>
              <w:rPr>
                <w:rFonts w:hint="eastAsia" w:ascii="Calibri" w:hAnsi="Calibri" w:eastAsia="宋体" w:cs="Times New Roman"/>
                <w:color w:val="auto"/>
                <w:kern w:val="2"/>
                <w:sz w:val="24"/>
                <w:szCs w:val="24"/>
                <w:highlight w:val="none"/>
                <w:lang w:val="en-US" w:eastAsia="zh-CN" w:bidi="ar-SA"/>
              </w:rPr>
            </w:pPr>
            <w:r>
              <w:rPr>
                <w:rFonts w:hint="eastAsia" w:eastAsia="宋体" w:cs="Times New Roman"/>
                <w:color w:val="auto"/>
                <w:sz w:val="24"/>
                <w:szCs w:val="24"/>
                <w:highlight w:val="none"/>
                <w:lang w:val="en-US" w:eastAsia="zh-CN"/>
              </w:rPr>
              <w:t>外国语学院</w:t>
            </w:r>
          </w:p>
        </w:tc>
      </w:tr>
      <w:tr w14:paraId="741BC60E">
        <w:tblPrEx>
          <w:tblCellMar>
            <w:top w:w="0" w:type="dxa"/>
            <w:left w:w="108" w:type="dxa"/>
            <w:bottom w:w="0" w:type="dxa"/>
            <w:right w:w="108" w:type="dxa"/>
          </w:tblCellMar>
        </w:tblPrEx>
        <w:trPr>
          <w:trHeight w:val="98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765AEAB5">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3785" w:type="dxa"/>
            <w:tcBorders>
              <w:top w:val="single" w:color="auto" w:sz="6" w:space="0"/>
              <w:left w:val="single" w:color="auto" w:sz="6" w:space="0"/>
              <w:bottom w:val="single" w:color="auto" w:sz="6" w:space="0"/>
              <w:right w:val="single" w:color="auto" w:sz="6" w:space="0"/>
            </w:tcBorders>
            <w:noWrap w:val="0"/>
            <w:vAlign w:val="center"/>
          </w:tcPr>
          <w:p w14:paraId="53E31033">
            <w:pPr>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数智时代背景下数学专业新质人才培养与评价：范式转变与多元路径构建</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70DBAEB">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胡淑珂</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550B7D22">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一般</w:t>
            </w:r>
          </w:p>
        </w:tc>
        <w:tc>
          <w:tcPr>
            <w:tcW w:w="1686" w:type="dxa"/>
            <w:tcBorders>
              <w:top w:val="single" w:color="auto" w:sz="6" w:space="0"/>
              <w:left w:val="single" w:color="auto" w:sz="6" w:space="0"/>
              <w:bottom w:val="single" w:color="auto" w:sz="6" w:space="0"/>
              <w:right w:val="single" w:color="auto" w:sz="6" w:space="0"/>
            </w:tcBorders>
            <w:noWrap w:val="0"/>
            <w:vAlign w:val="center"/>
          </w:tcPr>
          <w:p w14:paraId="05B3679D">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u w:val="none"/>
                <w:lang w:val="en-US" w:eastAsia="zh-CN"/>
              </w:rPr>
              <w:t>数学与统计学院</w:t>
            </w:r>
          </w:p>
        </w:tc>
      </w:tr>
      <w:tr w14:paraId="24BDE9CC">
        <w:tblPrEx>
          <w:tblCellMar>
            <w:top w:w="0" w:type="dxa"/>
            <w:left w:w="108" w:type="dxa"/>
            <w:bottom w:w="0" w:type="dxa"/>
            <w:right w:w="108" w:type="dxa"/>
          </w:tblCellMar>
        </w:tblPrEx>
        <w:trPr>
          <w:trHeight w:val="98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656BA881">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w:t>
            </w:r>
          </w:p>
        </w:tc>
        <w:tc>
          <w:tcPr>
            <w:tcW w:w="3785" w:type="dxa"/>
            <w:tcBorders>
              <w:top w:val="single" w:color="auto" w:sz="6" w:space="0"/>
              <w:left w:val="single" w:color="auto" w:sz="6" w:space="0"/>
              <w:bottom w:val="single" w:color="auto" w:sz="6" w:space="0"/>
              <w:right w:val="single" w:color="auto" w:sz="6" w:space="0"/>
            </w:tcBorders>
            <w:noWrap w:val="0"/>
            <w:vAlign w:val="center"/>
          </w:tcPr>
          <w:p w14:paraId="67C29B59">
            <w:pPr>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地方高校本科生四年一贯制创新综合能力项目化实训教学模式的探索与实践</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1BF31D3D">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张欣</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49ADA86C">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一般</w:t>
            </w:r>
          </w:p>
        </w:tc>
        <w:tc>
          <w:tcPr>
            <w:tcW w:w="1686" w:type="dxa"/>
            <w:tcBorders>
              <w:top w:val="single" w:color="auto" w:sz="6" w:space="0"/>
              <w:left w:val="single" w:color="auto" w:sz="6" w:space="0"/>
              <w:bottom w:val="single" w:color="auto" w:sz="6" w:space="0"/>
              <w:right w:val="single" w:color="auto" w:sz="6" w:space="0"/>
            </w:tcBorders>
            <w:noWrap w:val="0"/>
            <w:vAlign w:val="center"/>
          </w:tcPr>
          <w:p w14:paraId="1A3970F8">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u w:val="none"/>
                <w:lang w:val="en-US" w:eastAsia="zh-CN"/>
              </w:rPr>
              <w:t>建筑工程学院</w:t>
            </w:r>
          </w:p>
        </w:tc>
      </w:tr>
      <w:tr w14:paraId="46AC84F2">
        <w:tblPrEx>
          <w:tblCellMar>
            <w:top w:w="0" w:type="dxa"/>
            <w:left w:w="108" w:type="dxa"/>
            <w:bottom w:w="0" w:type="dxa"/>
            <w:right w:w="108" w:type="dxa"/>
          </w:tblCellMar>
        </w:tblPrEx>
        <w:trPr>
          <w:trHeight w:val="98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14:paraId="65254D11">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w:t>
            </w:r>
          </w:p>
        </w:tc>
        <w:tc>
          <w:tcPr>
            <w:tcW w:w="3785" w:type="dxa"/>
            <w:tcBorders>
              <w:top w:val="single" w:color="auto" w:sz="6" w:space="0"/>
              <w:left w:val="single" w:color="auto" w:sz="6" w:space="0"/>
              <w:bottom w:val="single" w:color="auto" w:sz="6" w:space="0"/>
              <w:right w:val="single" w:color="auto" w:sz="6" w:space="0"/>
            </w:tcBorders>
            <w:noWrap w:val="0"/>
            <w:vAlign w:val="center"/>
          </w:tcPr>
          <w:p w14:paraId="5D0F92A6">
            <w:pPr>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新质生产力视角下地方应用型高校人才培养路径探索与实践研究</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27312A1">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李云</w:t>
            </w:r>
          </w:p>
        </w:tc>
        <w:tc>
          <w:tcPr>
            <w:tcW w:w="1380" w:type="dxa"/>
            <w:tcBorders>
              <w:top w:val="single" w:color="auto" w:sz="6" w:space="0"/>
              <w:left w:val="single" w:color="auto" w:sz="6" w:space="0"/>
              <w:bottom w:val="single" w:color="auto" w:sz="6" w:space="0"/>
              <w:right w:val="single" w:color="auto" w:sz="6" w:space="0"/>
            </w:tcBorders>
            <w:noWrap w:val="0"/>
            <w:vAlign w:val="center"/>
          </w:tcPr>
          <w:p w14:paraId="7802FE83">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一般</w:t>
            </w:r>
          </w:p>
        </w:tc>
        <w:tc>
          <w:tcPr>
            <w:tcW w:w="1686" w:type="dxa"/>
            <w:tcBorders>
              <w:top w:val="single" w:color="auto" w:sz="6" w:space="0"/>
              <w:left w:val="single" w:color="auto" w:sz="6" w:space="0"/>
              <w:bottom w:val="single" w:color="auto" w:sz="6" w:space="0"/>
              <w:right w:val="single" w:color="auto" w:sz="6" w:space="0"/>
            </w:tcBorders>
            <w:noWrap w:val="0"/>
            <w:vAlign w:val="center"/>
          </w:tcPr>
          <w:p w14:paraId="27893762">
            <w:pPr>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u w:val="none"/>
                <w:lang w:val="en-US" w:eastAsia="zh-CN"/>
              </w:rPr>
              <w:t>生物与食品工程学院</w:t>
            </w:r>
          </w:p>
        </w:tc>
      </w:tr>
      <w:bookmarkEnd w:id="0"/>
    </w:tbl>
    <w:p w14:paraId="5392F0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45A09"/>
    <w:rsid w:val="0BC074EC"/>
    <w:rsid w:val="62C4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248</Characters>
  <Lines>0</Lines>
  <Paragraphs>0</Paragraphs>
  <TotalTime>3</TotalTime>
  <ScaleCrop>false</ScaleCrop>
  <LinksUpToDate>false</LinksUpToDate>
  <CharactersWithSpaces>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2025-04-10T01:09:00Z</dcterms:created>
  <dc:creator>如月</dc:creator>
  <cp:lastModifiedBy>倩</cp:lastModifiedBy>
  <dcterms:modified xsi:type="dcterms:W3CDTF">2025-04-10T02:35:31Z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749A1D345F1D434F948BC25DF4E83EA2_13</vt:lpwstr>
  </property>
  <property fmtid="{D5CDD505-2E9C-101B-9397-08002B2CF9AE}" pid="4" name="KSOTemplateDocerSaveRecord">
    <vt:lpwstr>eyJoZGlkIjoiYTdjMjVkNDUwNGEzMzg1NzE1NmY1YzYwYTE3NDczYzUiLCJ1c2VySWQiOiIzNzM1NjYxNDIifQ==</vt:lpwstr>
  </property>
</Properties>
</file>